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8828F2">
        <w:rPr>
          <w:sz w:val="28"/>
          <w:szCs w:val="28"/>
        </w:rPr>
        <w:t>Терсинс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F940FB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7E7B0C">
        <w:rPr>
          <w:sz w:val="28"/>
          <w:szCs w:val="28"/>
        </w:rPr>
        <w:t>202</w:t>
      </w:r>
      <w:r w:rsidR="001E50AF">
        <w:rPr>
          <w:sz w:val="28"/>
          <w:szCs w:val="28"/>
        </w:rPr>
        <w:t>1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7E7B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proofErr w:type="spellStart"/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>кого</w:t>
      </w:r>
      <w:proofErr w:type="spellEnd"/>
      <w:r w:rsid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сельского поселения</w:t>
      </w:r>
      <w:r w:rsidR="008828F2">
        <w:rPr>
          <w:sz w:val="28"/>
          <w:szCs w:val="28"/>
        </w:rPr>
        <w:t xml:space="preserve"> </w:t>
      </w:r>
      <w:proofErr w:type="spellStart"/>
      <w:r w:rsidR="007E7B0C">
        <w:rPr>
          <w:sz w:val="28"/>
          <w:szCs w:val="28"/>
        </w:rPr>
        <w:t>Шенцевой</w:t>
      </w:r>
      <w:proofErr w:type="spellEnd"/>
      <w:r w:rsidR="007E7B0C">
        <w:rPr>
          <w:sz w:val="28"/>
          <w:szCs w:val="28"/>
        </w:rPr>
        <w:t xml:space="preserve"> </w:t>
      </w:r>
      <w:r w:rsidR="007E7B0C" w:rsidRPr="007E7B0C">
        <w:rPr>
          <w:sz w:val="28"/>
          <w:szCs w:val="28"/>
        </w:rPr>
        <w:t>Ирин</w:t>
      </w:r>
      <w:r w:rsidR="007E7B0C">
        <w:rPr>
          <w:sz w:val="28"/>
          <w:szCs w:val="28"/>
        </w:rPr>
        <w:t>ы</w:t>
      </w:r>
      <w:r w:rsidR="007E7B0C" w:rsidRPr="007E7B0C">
        <w:rPr>
          <w:sz w:val="28"/>
          <w:szCs w:val="28"/>
        </w:rPr>
        <w:t xml:space="preserve"> Викторовн</w:t>
      </w:r>
      <w:r w:rsidR="007E7B0C">
        <w:rPr>
          <w:sz w:val="28"/>
          <w:szCs w:val="28"/>
        </w:rPr>
        <w:t>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 – 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8828F2">
        <w:rPr>
          <w:sz w:val="28"/>
          <w:szCs w:val="28"/>
        </w:rPr>
        <w:t>Терсинс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="00010B8D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8828F2">
        <w:rPr>
          <w:color w:val="000000"/>
          <w:sz w:val="28"/>
          <w:szCs w:val="28"/>
        </w:rPr>
        <w:t>Терсинс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–счетной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8828F2">
              <w:rPr>
                <w:rFonts w:ascii="Times New Roman" w:hAnsi="Times New Roman"/>
                <w:sz w:val="28"/>
                <w:szCs w:val="28"/>
              </w:rPr>
              <w:t>Терсинс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1E50AF" w:rsidP="007E7B0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7E7B0C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7E7B0C" w:rsidRPr="007E7B0C">
              <w:rPr>
                <w:rFonts w:ascii="Times New Roman" w:hAnsi="Times New Roman"/>
                <w:sz w:val="28"/>
                <w:szCs w:val="28"/>
              </w:rPr>
              <w:t>Шенцева</w:t>
            </w:r>
            <w:proofErr w:type="spellEnd"/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50A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10B8D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1E50AF"/>
    <w:rsid w:val="00230B02"/>
    <w:rsid w:val="00294901"/>
    <w:rsid w:val="002A61D6"/>
    <w:rsid w:val="002C3195"/>
    <w:rsid w:val="002F0559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7E7B0C"/>
    <w:rsid w:val="00810097"/>
    <w:rsid w:val="0082243F"/>
    <w:rsid w:val="00843559"/>
    <w:rsid w:val="0084702A"/>
    <w:rsid w:val="008705AA"/>
    <w:rsid w:val="00877943"/>
    <w:rsid w:val="008828F2"/>
    <w:rsid w:val="0089010F"/>
    <w:rsid w:val="00942A14"/>
    <w:rsid w:val="009B1DED"/>
    <w:rsid w:val="00A323C8"/>
    <w:rsid w:val="00A47BDC"/>
    <w:rsid w:val="00B2122E"/>
    <w:rsid w:val="00B54091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DC162B"/>
    <w:rsid w:val="00E40B77"/>
    <w:rsid w:val="00E73D9A"/>
    <w:rsid w:val="00E96772"/>
    <w:rsid w:val="00EB344D"/>
    <w:rsid w:val="00EF221A"/>
    <w:rsid w:val="00F579F3"/>
    <w:rsid w:val="00F77A00"/>
    <w:rsid w:val="00F824BF"/>
    <w:rsid w:val="00F940FB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5</cp:revision>
  <cp:lastPrinted>2014-01-29T06:15:00Z</cp:lastPrinted>
  <dcterms:created xsi:type="dcterms:W3CDTF">2020-03-03T01:34:00Z</dcterms:created>
  <dcterms:modified xsi:type="dcterms:W3CDTF">2021-02-26T03:32:00Z</dcterms:modified>
</cp:coreProperties>
</file>