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90" w:rsidRDefault="00121090" w:rsidP="00121090">
      <w:pPr>
        <w:pStyle w:val="1"/>
      </w:pPr>
      <w:r>
        <w:drawing>
          <wp:inline distT="0" distB="0" distL="0" distR="0" wp14:anchorId="12CA3B90" wp14:editId="735BBAC2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90" w:rsidRPr="0048145D" w:rsidRDefault="00121090" w:rsidP="00121090">
      <w:pPr>
        <w:rPr>
          <w:lang w:val="en-US"/>
        </w:rPr>
      </w:pPr>
    </w:p>
    <w:p w:rsidR="00121090" w:rsidRPr="00541C1F" w:rsidRDefault="00121090" w:rsidP="0012109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21090" w:rsidRPr="00541C1F" w:rsidRDefault="00121090" w:rsidP="00121090">
      <w:pPr>
        <w:pStyle w:val="2"/>
      </w:pPr>
    </w:p>
    <w:p w:rsidR="00121090" w:rsidRPr="000B219F" w:rsidRDefault="00121090" w:rsidP="0012109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121090" w:rsidRDefault="00121090" w:rsidP="00121090">
      <w:pPr>
        <w:pStyle w:val="a3"/>
        <w:jc w:val="center"/>
        <w:rPr>
          <w:rFonts w:ascii="Times New Roman" w:hAnsi="Times New Roman"/>
          <w:sz w:val="26"/>
        </w:rPr>
      </w:pPr>
    </w:p>
    <w:p w:rsidR="000B4363" w:rsidRPr="00801AEA" w:rsidRDefault="000B4363" w:rsidP="000B4363">
      <w:pPr>
        <w:jc w:val="center"/>
        <w:rPr>
          <w:bCs/>
          <w:noProof/>
          <w:sz w:val="26"/>
          <w:szCs w:val="26"/>
          <w:u w:val="single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ноября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154</w:t>
      </w:r>
      <w:r>
        <w:rPr>
          <w:bCs/>
          <w:noProof/>
          <w:sz w:val="26"/>
          <w:szCs w:val="26"/>
          <w:u w:val="single"/>
        </w:rPr>
        <w:t>-МНПА</w:t>
      </w:r>
    </w:p>
    <w:p w:rsidR="00121090" w:rsidRDefault="00121090" w:rsidP="00121090"/>
    <w:p w:rsidR="00B0310F" w:rsidRPr="00B0310F" w:rsidRDefault="00B0310F" w:rsidP="00B0310F">
      <w:pPr>
        <w:jc w:val="center"/>
        <w:rPr>
          <w:sz w:val="26"/>
          <w:szCs w:val="26"/>
        </w:rPr>
      </w:pPr>
      <w:r w:rsidRPr="00B0310F">
        <w:rPr>
          <w:b/>
          <w:bCs/>
          <w:sz w:val="26"/>
          <w:szCs w:val="26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и договорам найма муниципального специализированного жилищного фонда муниципального образования «Новокузнецкий муниципальный район»</w:t>
      </w:r>
    </w:p>
    <w:p w:rsidR="00121090" w:rsidRPr="0054689F" w:rsidRDefault="00121090" w:rsidP="00121090">
      <w:pPr>
        <w:jc w:val="center"/>
        <w:rPr>
          <w:b/>
          <w:sz w:val="26"/>
          <w:szCs w:val="26"/>
        </w:rPr>
      </w:pPr>
    </w:p>
    <w:p w:rsidR="00121090" w:rsidRPr="00210C95" w:rsidRDefault="00121090" w:rsidP="00121090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121090" w:rsidRPr="00210C95" w:rsidRDefault="00121090" w:rsidP="00121090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B4363" w:rsidRPr="00AA6EB0" w:rsidRDefault="000B4363" w:rsidP="000B436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ноября 2020 г.</w:t>
      </w:r>
    </w:p>
    <w:p w:rsidR="00121090" w:rsidRPr="00304304" w:rsidRDefault="00121090" w:rsidP="00121090">
      <w:pPr>
        <w:ind w:firstLine="709"/>
        <w:rPr>
          <w:sz w:val="26"/>
          <w:szCs w:val="26"/>
        </w:rPr>
      </w:pPr>
    </w:p>
    <w:p w:rsidR="00B0310F" w:rsidRPr="00B0310F" w:rsidRDefault="00B0310F" w:rsidP="00B0310F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B0310F">
        <w:rPr>
          <w:color w:val="000000"/>
          <w:sz w:val="26"/>
          <w:szCs w:val="26"/>
        </w:rPr>
        <w:t>1. Установить размер платы за пользование жилым помещением (платы                  за наем) для нанимателей жилых помещений по договорам социального найма жилых помещений муниципального жилищного фонда и договорам найма муниципального специализированного жилищного фонда муниципального образования «Новокузнецкий муниципальный район» со</w:t>
      </w:r>
      <w:r>
        <w:rPr>
          <w:color w:val="000000"/>
          <w:sz w:val="26"/>
          <w:szCs w:val="26"/>
        </w:rPr>
        <w:t>гласно приложению к настоящему Р</w:t>
      </w:r>
      <w:r w:rsidRPr="00B0310F">
        <w:rPr>
          <w:color w:val="000000"/>
          <w:sz w:val="26"/>
          <w:szCs w:val="26"/>
        </w:rPr>
        <w:t xml:space="preserve">ешению. </w:t>
      </w:r>
    </w:p>
    <w:p w:rsidR="00B0310F" w:rsidRPr="00B0310F" w:rsidRDefault="00B0310F" w:rsidP="00B0310F">
      <w:pPr>
        <w:ind w:firstLine="709"/>
        <w:jc w:val="both"/>
        <w:rPr>
          <w:sz w:val="26"/>
          <w:szCs w:val="26"/>
        </w:rPr>
      </w:pPr>
      <w:r w:rsidRPr="00B0310F">
        <w:rPr>
          <w:color w:val="000000"/>
          <w:sz w:val="26"/>
          <w:szCs w:val="26"/>
        </w:rPr>
        <w:t>2. Признать  утратившим  силу  решение  Совета  народных  депутатов Новокузнецкого муниципального района от 20.12.2016 № 213-МНПА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121090" w:rsidRPr="00B0310F" w:rsidRDefault="00B0310F" w:rsidP="00121090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21090" w:rsidRPr="00B0310F">
        <w:rPr>
          <w:rFonts w:ascii="Times New Roman" w:hAnsi="Times New Roman"/>
          <w:sz w:val="26"/>
          <w:szCs w:val="26"/>
        </w:rPr>
        <w:t>. Настоящее Решение вступает в силу с 1 января 2021 г., но не ранее дня, следующего за днем его официального опубликования.</w:t>
      </w:r>
    </w:p>
    <w:p w:rsidR="00121090" w:rsidRDefault="00121090" w:rsidP="00121090">
      <w:pPr>
        <w:ind w:firstLine="708"/>
        <w:jc w:val="both"/>
        <w:rPr>
          <w:sz w:val="28"/>
          <w:szCs w:val="28"/>
        </w:rPr>
      </w:pPr>
    </w:p>
    <w:p w:rsidR="00121090" w:rsidRDefault="00121090" w:rsidP="00121090">
      <w:pPr>
        <w:ind w:firstLine="708"/>
        <w:jc w:val="both"/>
        <w:rPr>
          <w:sz w:val="28"/>
          <w:szCs w:val="28"/>
        </w:rPr>
      </w:pPr>
    </w:p>
    <w:p w:rsidR="00121090" w:rsidRPr="007407FE" w:rsidRDefault="00121090" w:rsidP="001210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7407FE">
        <w:rPr>
          <w:color w:val="000000"/>
          <w:sz w:val="26"/>
          <w:szCs w:val="26"/>
          <w:lang w:bidi="ru-RU"/>
        </w:rPr>
        <w:t>народных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121090" w:rsidRPr="007407FE" w:rsidRDefault="00121090" w:rsidP="001210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7407FE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121090" w:rsidRPr="007407FE" w:rsidRDefault="00121090" w:rsidP="0012109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121090" w:rsidRPr="007407FE" w:rsidRDefault="00121090" w:rsidP="0012109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21090" w:rsidRPr="007407FE" w:rsidRDefault="00121090" w:rsidP="0012109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21090" w:rsidRPr="007407FE" w:rsidRDefault="00121090" w:rsidP="00121090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121090" w:rsidRPr="007407FE" w:rsidRDefault="00121090" w:rsidP="00121090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 xml:space="preserve">Глава </w:t>
      </w:r>
      <w:proofErr w:type="gramStart"/>
      <w:r w:rsidRPr="007407FE">
        <w:rPr>
          <w:sz w:val="26"/>
          <w:szCs w:val="26"/>
        </w:rPr>
        <w:t>Новокузнецкого</w:t>
      </w:r>
      <w:proofErr w:type="gramEnd"/>
      <w:r w:rsidRPr="007407FE">
        <w:rPr>
          <w:sz w:val="26"/>
          <w:szCs w:val="26"/>
        </w:rPr>
        <w:t xml:space="preserve"> </w:t>
      </w:r>
    </w:p>
    <w:p w:rsidR="00121090" w:rsidRPr="007407FE" w:rsidRDefault="00121090" w:rsidP="00121090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>муниципального района</w:t>
      </w:r>
      <w:r w:rsidRPr="007407FE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121090" w:rsidRDefault="00121090" w:rsidP="00121090">
      <w:pPr>
        <w:rPr>
          <w:sz w:val="26"/>
          <w:szCs w:val="26"/>
        </w:rPr>
      </w:pPr>
    </w:p>
    <w:p w:rsidR="00121090" w:rsidRDefault="00121090" w:rsidP="00121090">
      <w:pPr>
        <w:rPr>
          <w:sz w:val="26"/>
          <w:szCs w:val="26"/>
        </w:rPr>
      </w:pPr>
    </w:p>
    <w:p w:rsidR="00121090" w:rsidRDefault="00121090" w:rsidP="00121090">
      <w:pPr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121090" w:rsidTr="00D157B8">
        <w:trPr>
          <w:jc w:val="center"/>
        </w:trPr>
        <w:tc>
          <w:tcPr>
            <w:tcW w:w="3734" w:type="dxa"/>
          </w:tcPr>
          <w:p w:rsidR="00121090" w:rsidRDefault="00121090" w:rsidP="00D157B8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21090" w:rsidRDefault="00121090" w:rsidP="00D157B8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21090" w:rsidRPr="006267CD" w:rsidRDefault="00121090" w:rsidP="00D157B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121090" w:rsidRPr="00B17F99" w:rsidTr="00D157B8">
        <w:trPr>
          <w:jc w:val="center"/>
        </w:trPr>
        <w:tc>
          <w:tcPr>
            <w:tcW w:w="3734" w:type="dxa"/>
          </w:tcPr>
          <w:p w:rsidR="00121090" w:rsidRDefault="00121090" w:rsidP="00D157B8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21090" w:rsidRDefault="00121090" w:rsidP="00D157B8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21090" w:rsidRPr="006267CD" w:rsidRDefault="00121090" w:rsidP="00D157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1090" w:rsidTr="000B4363">
        <w:trPr>
          <w:trHeight w:val="227"/>
          <w:jc w:val="center"/>
        </w:trPr>
        <w:tc>
          <w:tcPr>
            <w:tcW w:w="3734" w:type="dxa"/>
          </w:tcPr>
          <w:p w:rsidR="00121090" w:rsidRDefault="00121090" w:rsidP="00D157B8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21090" w:rsidRDefault="00121090" w:rsidP="00D157B8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121090" w:rsidRPr="000B4363" w:rsidRDefault="000B4363" w:rsidP="00D157B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B4363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Pr="000B4363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</w:t>
            </w:r>
            <w:bookmarkStart w:id="0" w:name="_GoBack"/>
            <w:bookmarkEnd w:id="0"/>
            <w:r w:rsidRPr="000B4363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6 ноября 2020 г.</w:t>
            </w:r>
            <w:r w:rsidRPr="000B4363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Pr="000B4363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154-МНПА</w:t>
            </w:r>
          </w:p>
        </w:tc>
      </w:tr>
      <w:tr w:rsidR="00121090" w:rsidTr="00D157B8">
        <w:trPr>
          <w:trHeight w:val="659"/>
          <w:jc w:val="center"/>
        </w:trPr>
        <w:tc>
          <w:tcPr>
            <w:tcW w:w="3734" w:type="dxa"/>
          </w:tcPr>
          <w:p w:rsidR="00121090" w:rsidRDefault="00121090" w:rsidP="00D157B8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121090" w:rsidRDefault="00121090" w:rsidP="00D157B8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B0310F" w:rsidRPr="00B0310F" w:rsidRDefault="00121090" w:rsidP="00D157B8">
            <w:pPr>
              <w:jc w:val="both"/>
              <w:rPr>
                <w:bCs/>
                <w:noProof/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«</w:t>
            </w:r>
            <w:r w:rsidR="00B0310F" w:rsidRPr="00B0310F">
              <w:rPr>
                <w:bCs/>
                <w:sz w:val="26"/>
                <w:szCs w:val="26"/>
              </w:rPr>
              <w:t>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и договорам найма муниципального специализированного жилищного фонда муниципального образования «Новокузнецкий муниципальный район</w:t>
            </w:r>
            <w:r w:rsidRPr="00B0310F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AE0F5E" w:rsidRDefault="000B4363"/>
    <w:p w:rsidR="00B0310F" w:rsidRPr="00B0310F" w:rsidRDefault="00B0310F" w:rsidP="00B0310F">
      <w:pPr>
        <w:jc w:val="center"/>
        <w:rPr>
          <w:b/>
          <w:bCs/>
          <w:sz w:val="26"/>
          <w:szCs w:val="26"/>
        </w:rPr>
      </w:pPr>
      <w:r w:rsidRPr="00B0310F">
        <w:rPr>
          <w:b/>
          <w:bCs/>
          <w:sz w:val="26"/>
          <w:szCs w:val="26"/>
        </w:rPr>
        <w:t>Размер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и договорам найма муниципального специализированного жилищного фонда муниципального образования «Новокузнецкий муниципальный район»</w:t>
      </w:r>
    </w:p>
    <w:p w:rsidR="00B0310F" w:rsidRPr="00B0310F" w:rsidRDefault="00B0310F" w:rsidP="00B0310F">
      <w:pPr>
        <w:ind w:left="720"/>
        <w:rPr>
          <w:bCs/>
          <w:sz w:val="26"/>
          <w:szCs w:val="26"/>
        </w:rPr>
      </w:pPr>
    </w:p>
    <w:p w:rsidR="00B0310F" w:rsidRPr="00B0310F" w:rsidRDefault="00B0310F" w:rsidP="00B0310F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B0310F">
        <w:rPr>
          <w:bCs/>
          <w:sz w:val="26"/>
          <w:szCs w:val="26"/>
        </w:rPr>
        <w:t>Общие положения</w:t>
      </w:r>
    </w:p>
    <w:p w:rsidR="00B0310F" w:rsidRPr="00B0310F" w:rsidRDefault="00B0310F" w:rsidP="00B0310F">
      <w:pPr>
        <w:ind w:left="720"/>
        <w:rPr>
          <w:sz w:val="26"/>
          <w:szCs w:val="26"/>
        </w:rPr>
      </w:pPr>
    </w:p>
    <w:p w:rsidR="00B0310F" w:rsidRPr="00B0310F" w:rsidRDefault="00B0310F" w:rsidP="00B0310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310F">
        <w:rPr>
          <w:bCs/>
          <w:sz w:val="26"/>
          <w:szCs w:val="26"/>
        </w:rPr>
        <w:t xml:space="preserve">1.1. Расчет размера платы за наем жилого помещения производится по формулам, установленным методическими указаниями установления размера платы за пользование жилым помещением для нанимателей жилых помещений           по договорам социального найма и договорам найма жилых помещений государственного или муниципального жилищного фонда </w:t>
      </w:r>
      <w:r w:rsidRPr="00B0310F">
        <w:rPr>
          <w:color w:val="000000"/>
          <w:sz w:val="26"/>
          <w:szCs w:val="26"/>
        </w:rPr>
        <w:t>п</w:t>
      </w:r>
      <w:r w:rsidRPr="00B0310F">
        <w:rPr>
          <w:sz w:val="26"/>
          <w:szCs w:val="26"/>
        </w:rPr>
        <w:t>риказом 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B0310F">
        <w:rPr>
          <w:sz w:val="26"/>
          <w:szCs w:val="26"/>
        </w:rPr>
        <w:t>пр</w:t>
      </w:r>
      <w:proofErr w:type="spellEnd"/>
      <w:proofErr w:type="gramEnd"/>
      <w:r w:rsidRPr="00B0310F">
        <w:rPr>
          <w:bCs/>
          <w:sz w:val="26"/>
          <w:szCs w:val="26"/>
        </w:rPr>
        <w:t>, с использованием следующих исходных данных:</w:t>
      </w:r>
    </w:p>
    <w:p w:rsidR="00B0310F" w:rsidRPr="00B0310F" w:rsidRDefault="00B0310F" w:rsidP="00B031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B0310F">
        <w:rPr>
          <w:sz w:val="26"/>
          <w:szCs w:val="26"/>
        </w:rPr>
        <w:t xml:space="preserve">1.2.  Величина коэффициента соответствия платы устанавливается в размере 0,12. </w:t>
      </w:r>
    </w:p>
    <w:p w:rsidR="00B0310F" w:rsidRPr="00B0310F" w:rsidRDefault="00B0310F" w:rsidP="00B031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10F">
        <w:rPr>
          <w:sz w:val="26"/>
          <w:szCs w:val="26"/>
        </w:rPr>
        <w:t>1.3. Базовый размер платы за наем жилого помещения устанавливается в размере 43.34 руб.  кв. м.</w:t>
      </w:r>
    </w:p>
    <w:p w:rsidR="00B0310F" w:rsidRPr="00B0310F" w:rsidRDefault="00B0310F" w:rsidP="00B031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310F">
        <w:rPr>
          <w:sz w:val="26"/>
          <w:szCs w:val="26"/>
        </w:rPr>
        <w:t xml:space="preserve">1.4. </w:t>
      </w:r>
      <w:r w:rsidRPr="00B0310F">
        <w:rPr>
          <w:color w:val="000000"/>
          <w:sz w:val="26"/>
          <w:szCs w:val="26"/>
        </w:rPr>
        <w:t>Коэффициент, характеризующий качество жилого помещения, учитывающий период постройки дома, который отражает степень износа: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792"/>
        <w:gridCol w:w="4786"/>
        <w:gridCol w:w="2986"/>
      </w:tblGrid>
      <w:tr w:rsidR="00B0310F" w:rsidRPr="00B0310F" w:rsidTr="00B0310F">
        <w:trPr>
          <w:cantSplit/>
          <w:jc w:val="center"/>
        </w:trPr>
        <w:tc>
          <w:tcPr>
            <w:tcW w:w="1127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 xml:space="preserve"> № </w:t>
            </w:r>
            <w:proofErr w:type="spellStart"/>
            <w:r w:rsidRPr="00B0310F">
              <w:rPr>
                <w:sz w:val="26"/>
                <w:szCs w:val="26"/>
              </w:rPr>
              <w:t>п.п</w:t>
            </w:r>
            <w:proofErr w:type="spellEnd"/>
            <w:r w:rsidRPr="00B0310F">
              <w:rPr>
                <w:sz w:val="26"/>
                <w:szCs w:val="26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Период постройки дома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Коэффициент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127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до 1949 г.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0,8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127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 xml:space="preserve">1950 – 1970 </w:t>
            </w:r>
            <w:proofErr w:type="spellStart"/>
            <w:r w:rsidRPr="00B0310F">
              <w:rPr>
                <w:sz w:val="26"/>
                <w:szCs w:val="26"/>
              </w:rPr>
              <w:t>г.</w:t>
            </w:r>
            <w:proofErr w:type="gramStart"/>
            <w:r w:rsidRPr="00B0310F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B0310F">
              <w:rPr>
                <w:sz w:val="26"/>
                <w:szCs w:val="26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0,9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127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 xml:space="preserve">1971 – 1991 </w:t>
            </w:r>
            <w:proofErr w:type="spellStart"/>
            <w:r w:rsidRPr="00B0310F">
              <w:rPr>
                <w:sz w:val="26"/>
                <w:szCs w:val="26"/>
              </w:rPr>
              <w:t>г.</w:t>
            </w:r>
            <w:proofErr w:type="gramStart"/>
            <w:r w:rsidRPr="00B0310F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B0310F">
              <w:rPr>
                <w:sz w:val="26"/>
                <w:szCs w:val="26"/>
              </w:rPr>
              <w:t>.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127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4</w:t>
            </w:r>
          </w:p>
        </w:tc>
        <w:tc>
          <w:tcPr>
            <w:tcW w:w="3010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1992 – и позже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1,3</w:t>
            </w:r>
          </w:p>
        </w:tc>
      </w:tr>
    </w:tbl>
    <w:p w:rsidR="00B0310F" w:rsidRPr="00B0310F" w:rsidRDefault="00B0310F" w:rsidP="00B0310F">
      <w:pPr>
        <w:ind w:firstLine="709"/>
        <w:jc w:val="both"/>
        <w:rPr>
          <w:color w:val="000000"/>
          <w:sz w:val="26"/>
          <w:szCs w:val="26"/>
        </w:rPr>
      </w:pPr>
      <w:r w:rsidRPr="00B0310F">
        <w:rPr>
          <w:color w:val="000000"/>
          <w:sz w:val="26"/>
          <w:szCs w:val="26"/>
        </w:rPr>
        <w:t>Для домов, состоящих из нескольких строений, имеющих разный год постройки, начисление платы за наем производится из расчета минимального коэффициента (период постройки дома) для данного дома.</w:t>
      </w:r>
    </w:p>
    <w:p w:rsidR="00B0310F" w:rsidRPr="00B0310F" w:rsidRDefault="00B0310F" w:rsidP="00B0310F">
      <w:pPr>
        <w:ind w:firstLine="720"/>
        <w:rPr>
          <w:sz w:val="26"/>
          <w:szCs w:val="26"/>
        </w:rPr>
      </w:pPr>
    </w:p>
    <w:p w:rsidR="00B0310F" w:rsidRPr="00B0310F" w:rsidRDefault="00B0310F" w:rsidP="00B0310F">
      <w:pPr>
        <w:rPr>
          <w:sz w:val="26"/>
          <w:szCs w:val="26"/>
        </w:rPr>
      </w:pPr>
    </w:p>
    <w:p w:rsidR="00B0310F" w:rsidRPr="00B0310F" w:rsidRDefault="00B0310F" w:rsidP="00B0310F">
      <w:pPr>
        <w:tabs>
          <w:tab w:val="left" w:pos="709"/>
          <w:tab w:val="left" w:pos="851"/>
          <w:tab w:val="left" w:pos="1276"/>
        </w:tabs>
        <w:ind w:firstLine="709"/>
        <w:rPr>
          <w:color w:val="000000"/>
          <w:sz w:val="26"/>
          <w:szCs w:val="26"/>
        </w:rPr>
      </w:pPr>
      <w:r w:rsidRPr="00B0310F">
        <w:rPr>
          <w:color w:val="000000"/>
          <w:sz w:val="26"/>
          <w:szCs w:val="26"/>
        </w:rPr>
        <w:lastRenderedPageBreak/>
        <w:t>1.5.  Коэффициент, учитывающий благоустройство жилого помещения:</w:t>
      </w:r>
    </w:p>
    <w:tbl>
      <w:tblPr>
        <w:tblW w:w="94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2"/>
        <w:gridCol w:w="6519"/>
        <w:gridCol w:w="1878"/>
      </w:tblGrid>
      <w:tr w:rsidR="00B0310F" w:rsidRPr="00B0310F" w:rsidTr="00B0310F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 xml:space="preserve">№ </w:t>
            </w:r>
            <w:proofErr w:type="spellStart"/>
            <w:r w:rsidRPr="00B0310F">
              <w:rPr>
                <w:sz w:val="26"/>
                <w:szCs w:val="26"/>
              </w:rPr>
              <w:t>п.п</w:t>
            </w:r>
            <w:proofErr w:type="spellEnd"/>
            <w:r w:rsidRPr="00B0310F">
              <w:rPr>
                <w:sz w:val="26"/>
                <w:szCs w:val="26"/>
              </w:rPr>
              <w:t>.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Степень благоустройства многоквартирного или жилого помещения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Коэффициент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B0310F" w:rsidRDefault="00B0310F" w:rsidP="00176147">
            <w:pPr>
              <w:jc w:val="both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Жилые дома, не имеющие благоустройства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0,8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2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B0310F" w:rsidRDefault="00B0310F" w:rsidP="00176147">
            <w:pPr>
              <w:jc w:val="both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Жилые дома, имеющие один из видов коммунальных услуг (холодное водоснабжение, водоотведение, горячее водоснабжение, отопление)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0,9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3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B0310F" w:rsidRDefault="00B0310F" w:rsidP="00176147">
            <w:pPr>
              <w:jc w:val="both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Жилые дома, имеющие два вида коммунальных услуг   (холодное водоснабжение, водоотведение, горячее водоснабжение, отопление)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4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B0310F" w:rsidRDefault="00B0310F" w:rsidP="00176147">
            <w:pPr>
              <w:jc w:val="both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Жилые дома, имеющие три вида коммунальных услуг (холодное водоснабжение, водоотведение, горячее водоснабжение, отопление)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1,1</w:t>
            </w:r>
          </w:p>
        </w:tc>
      </w:tr>
      <w:tr w:rsidR="00B0310F" w:rsidRPr="00B0310F" w:rsidTr="00B0310F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5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B0310F" w:rsidRDefault="00B0310F" w:rsidP="00176147">
            <w:pPr>
              <w:jc w:val="both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Дома</w:t>
            </w:r>
            <w:r>
              <w:rPr>
                <w:sz w:val="26"/>
                <w:szCs w:val="26"/>
              </w:rPr>
              <w:t>,</w:t>
            </w:r>
            <w:r w:rsidRPr="00B0310F">
              <w:rPr>
                <w:sz w:val="26"/>
                <w:szCs w:val="26"/>
              </w:rPr>
              <w:t xml:space="preserve"> имеющие все виды благоустройства (холодное водоснабжение, водоотведение, горячее водоснабжение, отопление)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B0310F" w:rsidRDefault="00B0310F" w:rsidP="00D157B8">
            <w:pPr>
              <w:jc w:val="center"/>
              <w:rPr>
                <w:sz w:val="26"/>
                <w:szCs w:val="26"/>
              </w:rPr>
            </w:pPr>
            <w:r w:rsidRPr="00B0310F">
              <w:rPr>
                <w:sz w:val="26"/>
                <w:szCs w:val="26"/>
              </w:rPr>
              <w:t>1,3</w:t>
            </w:r>
          </w:p>
        </w:tc>
      </w:tr>
    </w:tbl>
    <w:p w:rsidR="00B0310F" w:rsidRPr="00B0310F" w:rsidRDefault="00B0310F" w:rsidP="00B0310F">
      <w:pPr>
        <w:tabs>
          <w:tab w:val="left" w:pos="1276"/>
        </w:tabs>
        <w:ind w:firstLine="709"/>
        <w:rPr>
          <w:color w:val="000000"/>
          <w:sz w:val="26"/>
          <w:szCs w:val="26"/>
        </w:rPr>
      </w:pPr>
      <w:r w:rsidRPr="00B0310F">
        <w:rPr>
          <w:color w:val="000000"/>
          <w:sz w:val="26"/>
          <w:szCs w:val="26"/>
        </w:rPr>
        <w:t>1.6.  Коэффициент, учитывающий местоположение жилого дома:</w:t>
      </w:r>
    </w:p>
    <w:tbl>
      <w:tblPr>
        <w:tblW w:w="94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2"/>
        <w:gridCol w:w="6519"/>
        <w:gridCol w:w="1878"/>
      </w:tblGrid>
      <w:tr w:rsidR="00B0310F" w:rsidRPr="008F71FD" w:rsidTr="008F71FD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 xml:space="preserve">№ </w:t>
            </w:r>
            <w:proofErr w:type="spellStart"/>
            <w:r w:rsidRPr="008F71FD">
              <w:rPr>
                <w:sz w:val="26"/>
                <w:szCs w:val="26"/>
              </w:rPr>
              <w:t>п.п</w:t>
            </w:r>
            <w:proofErr w:type="spellEnd"/>
            <w:r w:rsidRPr="008F71FD">
              <w:rPr>
                <w:sz w:val="26"/>
                <w:szCs w:val="26"/>
              </w:rPr>
              <w:t>.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Наименование территорий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8F71FD" w:rsidRDefault="00B0310F" w:rsidP="008F71FD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Коэффициент</w:t>
            </w:r>
          </w:p>
        </w:tc>
      </w:tr>
      <w:tr w:rsidR="00B0310F" w:rsidRPr="008F71FD" w:rsidTr="008F71FD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1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8F71FD" w:rsidRDefault="00B0310F" w:rsidP="00176147">
            <w:pPr>
              <w:jc w:val="both"/>
              <w:rPr>
                <w:sz w:val="26"/>
                <w:szCs w:val="26"/>
              </w:rPr>
            </w:pPr>
            <w:proofErr w:type="gramStart"/>
            <w:r w:rsidRPr="008F71FD">
              <w:rPr>
                <w:sz w:val="26"/>
                <w:szCs w:val="26"/>
              </w:rPr>
              <w:t xml:space="preserve">с. </w:t>
            </w:r>
            <w:proofErr w:type="spellStart"/>
            <w:r w:rsidRPr="008F71FD">
              <w:rPr>
                <w:sz w:val="26"/>
                <w:szCs w:val="26"/>
              </w:rPr>
              <w:t>Красулино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Недорезово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Анисимово</w:t>
            </w:r>
            <w:proofErr w:type="spellEnd"/>
            <w:r w:rsidRPr="008F71FD">
              <w:rPr>
                <w:sz w:val="26"/>
                <w:szCs w:val="26"/>
              </w:rPr>
              <w:t xml:space="preserve">, п. Веселый, д. </w:t>
            </w:r>
            <w:proofErr w:type="spellStart"/>
            <w:r w:rsidRPr="008F71FD">
              <w:rPr>
                <w:sz w:val="26"/>
                <w:szCs w:val="26"/>
              </w:rPr>
              <w:t>Жерново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Казанково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Иганино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Чичербаево</w:t>
            </w:r>
            <w:proofErr w:type="spellEnd"/>
            <w:r w:rsidRPr="008F71FD">
              <w:rPr>
                <w:sz w:val="26"/>
                <w:szCs w:val="26"/>
              </w:rPr>
              <w:t xml:space="preserve">, </w:t>
            </w:r>
            <w:proofErr w:type="spellStart"/>
            <w:r w:rsidRPr="008F71FD">
              <w:rPr>
                <w:sz w:val="26"/>
                <w:szCs w:val="26"/>
              </w:rPr>
              <w:t>п.ст</w:t>
            </w:r>
            <w:proofErr w:type="spellEnd"/>
            <w:r w:rsidRPr="008F71FD">
              <w:rPr>
                <w:sz w:val="26"/>
                <w:szCs w:val="26"/>
              </w:rPr>
              <w:t xml:space="preserve">. </w:t>
            </w:r>
            <w:proofErr w:type="spellStart"/>
            <w:r w:rsidRPr="008F71FD">
              <w:rPr>
                <w:sz w:val="26"/>
                <w:szCs w:val="26"/>
              </w:rPr>
              <w:t>Ерунаково</w:t>
            </w:r>
            <w:proofErr w:type="spellEnd"/>
            <w:r w:rsidRPr="008F71FD">
              <w:rPr>
                <w:sz w:val="26"/>
                <w:szCs w:val="26"/>
              </w:rPr>
              <w:t xml:space="preserve">, п. Успенка, п. </w:t>
            </w:r>
            <w:proofErr w:type="spellStart"/>
            <w:r w:rsidRPr="008F71FD">
              <w:rPr>
                <w:sz w:val="26"/>
                <w:szCs w:val="26"/>
              </w:rPr>
              <w:t>Тарагыш</w:t>
            </w:r>
            <w:proofErr w:type="spellEnd"/>
            <w:r w:rsidRPr="008F71FD">
              <w:rPr>
                <w:sz w:val="26"/>
                <w:szCs w:val="26"/>
              </w:rPr>
              <w:t xml:space="preserve">, п. Кузедеево, п. Осман, п. </w:t>
            </w:r>
            <w:proofErr w:type="spellStart"/>
            <w:r w:rsidRPr="008F71FD">
              <w:rPr>
                <w:sz w:val="26"/>
                <w:szCs w:val="26"/>
              </w:rPr>
              <w:t>Шартонка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="008F71FD">
              <w:rPr>
                <w:sz w:val="26"/>
                <w:szCs w:val="26"/>
              </w:rPr>
              <w:t>Усть</w:t>
            </w:r>
            <w:proofErr w:type="spellEnd"/>
            <w:r w:rsidR="008F71FD">
              <w:rPr>
                <w:sz w:val="26"/>
                <w:szCs w:val="26"/>
              </w:rPr>
              <w:t>-Та</w:t>
            </w:r>
            <w:r w:rsidRPr="008F71FD">
              <w:rPr>
                <w:sz w:val="26"/>
                <w:szCs w:val="26"/>
              </w:rPr>
              <w:t xml:space="preserve">ла, п. Курья, д. Крутая, п. Гавриловка </w:t>
            </w:r>
            <w:r w:rsidR="008F71FD">
              <w:rPr>
                <w:sz w:val="26"/>
                <w:szCs w:val="26"/>
              </w:rPr>
              <w:t>(</w:t>
            </w:r>
            <w:proofErr w:type="spellStart"/>
            <w:r w:rsidR="008F71FD">
              <w:rPr>
                <w:sz w:val="26"/>
                <w:szCs w:val="26"/>
              </w:rPr>
              <w:t>Кузедеевское</w:t>
            </w:r>
            <w:proofErr w:type="spellEnd"/>
            <w:r w:rsidR="008F71FD">
              <w:rPr>
                <w:sz w:val="26"/>
                <w:szCs w:val="26"/>
              </w:rPr>
              <w:t xml:space="preserve"> сельское поселение</w:t>
            </w:r>
            <w:r w:rsidRPr="008F71FD">
              <w:rPr>
                <w:sz w:val="26"/>
                <w:szCs w:val="26"/>
              </w:rPr>
              <w:t xml:space="preserve">), п. </w:t>
            </w:r>
            <w:proofErr w:type="spellStart"/>
            <w:r w:rsidRPr="008F71FD">
              <w:rPr>
                <w:sz w:val="26"/>
                <w:szCs w:val="26"/>
              </w:rPr>
              <w:t>Подстрелка</w:t>
            </w:r>
            <w:proofErr w:type="spellEnd"/>
            <w:r w:rsidRPr="008F71FD">
              <w:rPr>
                <w:sz w:val="26"/>
                <w:szCs w:val="26"/>
              </w:rPr>
              <w:t>, п. Бал</w:t>
            </w:r>
            <w:r w:rsidR="008F71FD">
              <w:rPr>
                <w:sz w:val="26"/>
                <w:szCs w:val="26"/>
              </w:rPr>
              <w:t>л</w:t>
            </w:r>
            <w:r w:rsidRPr="008F71FD">
              <w:rPr>
                <w:sz w:val="26"/>
                <w:szCs w:val="26"/>
              </w:rPr>
              <w:t>астный Карьер, п. Новостройка, с. Лыс, с. Большая Сулага, с. Красная Орловка, п. Зеленый Луг, п. Верхний</w:t>
            </w:r>
            <w:proofErr w:type="gramEnd"/>
            <w:r w:rsidRPr="008F71FD">
              <w:rPr>
                <w:sz w:val="26"/>
                <w:szCs w:val="26"/>
              </w:rPr>
              <w:t xml:space="preserve"> </w:t>
            </w:r>
            <w:proofErr w:type="gramStart"/>
            <w:r w:rsidRPr="008F71FD">
              <w:rPr>
                <w:sz w:val="26"/>
                <w:szCs w:val="26"/>
              </w:rPr>
              <w:t xml:space="preserve">Калтан, п. Красный Калтан, с. </w:t>
            </w:r>
            <w:proofErr w:type="spellStart"/>
            <w:r w:rsidRPr="008F71FD">
              <w:rPr>
                <w:sz w:val="26"/>
                <w:szCs w:val="26"/>
              </w:rPr>
              <w:t>Юрково</w:t>
            </w:r>
            <w:proofErr w:type="spellEnd"/>
            <w:r w:rsidRPr="008F71FD">
              <w:rPr>
                <w:sz w:val="26"/>
                <w:szCs w:val="26"/>
              </w:rPr>
              <w:t>, п. Черный Калтан, с. Сары-</w:t>
            </w:r>
            <w:proofErr w:type="spellStart"/>
            <w:r w:rsidRPr="008F71FD">
              <w:rPr>
                <w:sz w:val="26"/>
                <w:szCs w:val="26"/>
              </w:rPr>
              <w:t>Чумыш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Бенжереп</w:t>
            </w:r>
            <w:proofErr w:type="spellEnd"/>
            <w:r w:rsidR="008F71FD">
              <w:rPr>
                <w:sz w:val="26"/>
                <w:szCs w:val="26"/>
              </w:rPr>
              <w:t xml:space="preserve"> </w:t>
            </w:r>
            <w:r w:rsidRPr="008F71FD">
              <w:rPr>
                <w:sz w:val="26"/>
                <w:szCs w:val="26"/>
              </w:rPr>
              <w:t>2</w:t>
            </w:r>
            <w:r w:rsidR="008F71FD">
              <w:rPr>
                <w:sz w:val="26"/>
                <w:szCs w:val="26"/>
              </w:rPr>
              <w:t>-й</w:t>
            </w:r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="008F71FD">
              <w:rPr>
                <w:sz w:val="26"/>
                <w:szCs w:val="26"/>
              </w:rPr>
              <w:t>Бенжереп</w:t>
            </w:r>
            <w:proofErr w:type="spellEnd"/>
            <w:r w:rsidR="008F71FD">
              <w:rPr>
                <w:sz w:val="26"/>
                <w:szCs w:val="26"/>
              </w:rPr>
              <w:t xml:space="preserve"> </w:t>
            </w:r>
            <w:r w:rsidRPr="008F71FD">
              <w:rPr>
                <w:sz w:val="26"/>
                <w:szCs w:val="26"/>
              </w:rPr>
              <w:t>1</w:t>
            </w:r>
            <w:r w:rsidR="008F71FD">
              <w:rPr>
                <w:sz w:val="26"/>
                <w:szCs w:val="26"/>
              </w:rPr>
              <w:t>-й</w:t>
            </w:r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Мунай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Кандалеп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Урнас</w:t>
            </w:r>
            <w:proofErr w:type="spellEnd"/>
            <w:r w:rsidRPr="008F71FD">
              <w:rPr>
                <w:sz w:val="26"/>
                <w:szCs w:val="26"/>
              </w:rPr>
              <w:t>,</w:t>
            </w:r>
            <w:r w:rsidR="00176147">
              <w:rPr>
                <w:sz w:val="26"/>
                <w:szCs w:val="26"/>
              </w:rPr>
              <w:t xml:space="preserve"> </w:t>
            </w:r>
            <w:r w:rsidRPr="008F71FD">
              <w:rPr>
                <w:sz w:val="26"/>
                <w:szCs w:val="26"/>
              </w:rPr>
              <w:t xml:space="preserve"> с. </w:t>
            </w:r>
            <w:proofErr w:type="spellStart"/>
            <w:r w:rsidRPr="008F71FD">
              <w:rPr>
                <w:sz w:val="26"/>
                <w:szCs w:val="26"/>
              </w:rPr>
              <w:t>Шарово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Килинск</w:t>
            </w:r>
            <w:proofErr w:type="spellEnd"/>
            <w:r w:rsidRPr="008F71FD">
              <w:rPr>
                <w:sz w:val="26"/>
                <w:szCs w:val="26"/>
              </w:rPr>
              <w:t xml:space="preserve">, п. Юла, п. Осиновое </w:t>
            </w:r>
            <w:proofErr w:type="spellStart"/>
            <w:r w:rsidRPr="008F71FD">
              <w:rPr>
                <w:sz w:val="26"/>
                <w:szCs w:val="26"/>
              </w:rPr>
              <w:t>Плесо</w:t>
            </w:r>
            <w:proofErr w:type="spellEnd"/>
            <w:r w:rsidRPr="008F71FD">
              <w:rPr>
                <w:sz w:val="26"/>
                <w:szCs w:val="26"/>
              </w:rPr>
              <w:t xml:space="preserve">, п. Мутный, п. </w:t>
            </w:r>
            <w:proofErr w:type="spellStart"/>
            <w:r w:rsidRPr="008F71FD">
              <w:rPr>
                <w:sz w:val="26"/>
                <w:szCs w:val="26"/>
              </w:rPr>
              <w:t>Загадное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Усть-Нарык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Усть-Аскарлы</w:t>
            </w:r>
            <w:proofErr w:type="spellEnd"/>
            <w:r w:rsidRPr="008F71FD">
              <w:rPr>
                <w:sz w:val="26"/>
                <w:szCs w:val="26"/>
              </w:rPr>
              <w:t xml:space="preserve">, п. Увал, с. </w:t>
            </w:r>
            <w:proofErr w:type="spellStart"/>
            <w:r w:rsidRPr="008F71FD">
              <w:rPr>
                <w:sz w:val="26"/>
                <w:szCs w:val="26"/>
              </w:rPr>
              <w:t>Макариха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Ячменюха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Усково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0,8</w:t>
            </w:r>
          </w:p>
        </w:tc>
      </w:tr>
      <w:tr w:rsidR="00B0310F" w:rsidRPr="008F71FD" w:rsidTr="008F71FD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2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8F71FD" w:rsidRDefault="00B0310F" w:rsidP="00176147">
            <w:pPr>
              <w:jc w:val="both"/>
              <w:rPr>
                <w:sz w:val="26"/>
                <w:szCs w:val="26"/>
              </w:rPr>
            </w:pPr>
            <w:proofErr w:type="gramStart"/>
            <w:r w:rsidRPr="008F71FD">
              <w:rPr>
                <w:sz w:val="26"/>
                <w:szCs w:val="26"/>
              </w:rPr>
              <w:t xml:space="preserve">с. </w:t>
            </w:r>
            <w:proofErr w:type="spellStart"/>
            <w:r w:rsidRPr="008F71FD">
              <w:rPr>
                <w:sz w:val="26"/>
                <w:szCs w:val="26"/>
              </w:rPr>
              <w:t>Безруково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Боровково</w:t>
            </w:r>
            <w:proofErr w:type="spellEnd"/>
            <w:r w:rsidRPr="008F71FD">
              <w:rPr>
                <w:sz w:val="26"/>
                <w:szCs w:val="26"/>
              </w:rPr>
              <w:t>, п. Верх-</w:t>
            </w:r>
            <w:proofErr w:type="spellStart"/>
            <w:r w:rsidRPr="008F71FD">
              <w:rPr>
                <w:sz w:val="26"/>
                <w:szCs w:val="26"/>
              </w:rPr>
              <w:t>Подобас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Берензас</w:t>
            </w:r>
            <w:proofErr w:type="spellEnd"/>
            <w:r w:rsidRPr="008F71FD">
              <w:rPr>
                <w:sz w:val="26"/>
                <w:szCs w:val="26"/>
              </w:rPr>
              <w:t xml:space="preserve">, п. Березовая Грива, п. </w:t>
            </w:r>
            <w:proofErr w:type="spellStart"/>
            <w:r w:rsidRPr="008F71FD">
              <w:rPr>
                <w:sz w:val="26"/>
                <w:szCs w:val="26"/>
              </w:rPr>
              <w:t>Черемза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Костенково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Апанас</w:t>
            </w:r>
            <w:proofErr w:type="spellEnd"/>
            <w:r w:rsidRPr="008F71FD">
              <w:rPr>
                <w:sz w:val="26"/>
                <w:szCs w:val="26"/>
              </w:rPr>
              <w:t xml:space="preserve">, д. Мостовая, п. </w:t>
            </w:r>
            <w:proofErr w:type="spellStart"/>
            <w:r w:rsidRPr="008F71FD">
              <w:rPr>
                <w:sz w:val="26"/>
                <w:szCs w:val="26"/>
              </w:rPr>
              <w:t>Ананьино</w:t>
            </w:r>
            <w:proofErr w:type="spellEnd"/>
            <w:r w:rsidRPr="008F71FD">
              <w:rPr>
                <w:sz w:val="26"/>
                <w:szCs w:val="26"/>
              </w:rPr>
              <w:t>, п. Верх-</w:t>
            </w:r>
            <w:proofErr w:type="spellStart"/>
            <w:r w:rsidRPr="008F71FD">
              <w:rPr>
                <w:sz w:val="26"/>
                <w:szCs w:val="26"/>
              </w:rPr>
              <w:t>Кинерки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Алесеевка</w:t>
            </w:r>
            <w:proofErr w:type="spellEnd"/>
            <w:r w:rsidRPr="008F71FD">
              <w:rPr>
                <w:sz w:val="26"/>
                <w:szCs w:val="26"/>
              </w:rPr>
              <w:t xml:space="preserve">, п. Красный Холм, д. Таловая, с. Березово, п. Новый Урал, с. </w:t>
            </w:r>
            <w:proofErr w:type="spellStart"/>
            <w:r w:rsidRPr="008F71FD">
              <w:rPr>
                <w:sz w:val="26"/>
                <w:szCs w:val="26"/>
              </w:rPr>
              <w:t>Куртуково</w:t>
            </w:r>
            <w:proofErr w:type="spellEnd"/>
            <w:r w:rsidRPr="008F71FD">
              <w:rPr>
                <w:sz w:val="26"/>
                <w:szCs w:val="26"/>
              </w:rPr>
              <w:t xml:space="preserve">, п. Гавриловка (Сосновское </w:t>
            </w:r>
            <w:r w:rsidR="00CA0852">
              <w:rPr>
                <w:sz w:val="26"/>
                <w:szCs w:val="26"/>
              </w:rPr>
              <w:t>сельское поселение</w:t>
            </w:r>
            <w:r w:rsidRPr="008F71FD">
              <w:rPr>
                <w:sz w:val="26"/>
                <w:szCs w:val="26"/>
              </w:rPr>
              <w:t xml:space="preserve">), с. </w:t>
            </w:r>
            <w:proofErr w:type="spellStart"/>
            <w:r w:rsidRPr="008F71FD">
              <w:rPr>
                <w:sz w:val="26"/>
                <w:szCs w:val="26"/>
              </w:rPr>
              <w:t>Таргай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Кульчаны</w:t>
            </w:r>
            <w:proofErr w:type="spellEnd"/>
            <w:r w:rsidRPr="008F71FD">
              <w:rPr>
                <w:sz w:val="26"/>
                <w:szCs w:val="26"/>
              </w:rPr>
              <w:t xml:space="preserve">, п. Заречный, п. Федоровка, п. </w:t>
            </w:r>
            <w:proofErr w:type="spellStart"/>
            <w:r w:rsidRPr="008F71FD">
              <w:rPr>
                <w:sz w:val="26"/>
                <w:szCs w:val="26"/>
              </w:rPr>
              <w:t>Карчагол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Подкорчияк</w:t>
            </w:r>
            <w:proofErr w:type="spellEnd"/>
            <w:r w:rsidRPr="008F71FD">
              <w:rPr>
                <w:sz w:val="26"/>
                <w:szCs w:val="26"/>
              </w:rPr>
              <w:t>, п. Бело</w:t>
            </w:r>
            <w:r w:rsidR="00CA0852">
              <w:rPr>
                <w:sz w:val="26"/>
                <w:szCs w:val="26"/>
              </w:rPr>
              <w:t>р</w:t>
            </w:r>
            <w:r w:rsidRPr="008F71FD">
              <w:rPr>
                <w:sz w:val="26"/>
                <w:szCs w:val="26"/>
              </w:rPr>
              <w:t xml:space="preserve">ус, п. Нижние </w:t>
            </w:r>
            <w:proofErr w:type="spellStart"/>
            <w:r w:rsidRPr="008F71FD">
              <w:rPr>
                <w:sz w:val="26"/>
                <w:szCs w:val="26"/>
              </w:rPr>
              <w:t>Кинерки</w:t>
            </w:r>
            <w:proofErr w:type="spellEnd"/>
            <w:r w:rsidRPr="008F71FD">
              <w:rPr>
                <w:sz w:val="26"/>
                <w:szCs w:val="26"/>
              </w:rPr>
              <w:t>, п</w:t>
            </w:r>
            <w:proofErr w:type="gramEnd"/>
            <w:r w:rsidRPr="008F71FD">
              <w:rPr>
                <w:sz w:val="26"/>
                <w:szCs w:val="26"/>
              </w:rPr>
              <w:t xml:space="preserve">. Рябиновка, п. </w:t>
            </w:r>
            <w:proofErr w:type="spellStart"/>
            <w:r w:rsidRPr="008F71FD">
              <w:rPr>
                <w:sz w:val="26"/>
                <w:szCs w:val="26"/>
              </w:rPr>
              <w:t>Тайлеп</w:t>
            </w:r>
            <w:proofErr w:type="spellEnd"/>
            <w:r w:rsidRPr="008F71FD">
              <w:rPr>
                <w:sz w:val="26"/>
                <w:szCs w:val="26"/>
              </w:rPr>
              <w:t>, д. Подгорная, п. Николаевка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0,9</w:t>
            </w:r>
          </w:p>
        </w:tc>
      </w:tr>
      <w:tr w:rsidR="00B0310F" w:rsidRPr="008F71FD" w:rsidTr="008F71FD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8F71FD" w:rsidRDefault="00B0310F" w:rsidP="00176147">
            <w:pPr>
              <w:jc w:val="both"/>
              <w:rPr>
                <w:sz w:val="26"/>
                <w:szCs w:val="26"/>
              </w:rPr>
            </w:pPr>
            <w:proofErr w:type="gramStart"/>
            <w:r w:rsidRPr="008F71FD">
              <w:rPr>
                <w:sz w:val="26"/>
                <w:szCs w:val="26"/>
              </w:rPr>
              <w:t xml:space="preserve">с. Атаманово, </w:t>
            </w:r>
            <w:proofErr w:type="spellStart"/>
            <w:r w:rsidRPr="008F71FD">
              <w:rPr>
                <w:sz w:val="26"/>
                <w:szCs w:val="26"/>
              </w:rPr>
              <w:t>п.ст</w:t>
            </w:r>
            <w:proofErr w:type="spellEnd"/>
            <w:r w:rsidRPr="008F71FD">
              <w:rPr>
                <w:sz w:val="26"/>
                <w:szCs w:val="26"/>
              </w:rPr>
              <w:t xml:space="preserve">. </w:t>
            </w:r>
            <w:proofErr w:type="spellStart"/>
            <w:r w:rsidRPr="008F71FD">
              <w:rPr>
                <w:sz w:val="26"/>
                <w:szCs w:val="26"/>
              </w:rPr>
              <w:t>Тальжино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Баевка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Староабашево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Тальжино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Бунгур</w:t>
            </w:r>
            <w:proofErr w:type="spellEnd"/>
            <w:r w:rsidRPr="008F71FD">
              <w:rPr>
                <w:sz w:val="26"/>
                <w:szCs w:val="26"/>
              </w:rPr>
              <w:t xml:space="preserve">, п. Мир, д. </w:t>
            </w:r>
            <w:proofErr w:type="spellStart"/>
            <w:r w:rsidRPr="008F71FD">
              <w:rPr>
                <w:sz w:val="26"/>
                <w:szCs w:val="26"/>
              </w:rPr>
              <w:t>Глуховка</w:t>
            </w:r>
            <w:proofErr w:type="spellEnd"/>
            <w:r w:rsidRPr="008F71FD">
              <w:rPr>
                <w:sz w:val="26"/>
                <w:szCs w:val="26"/>
              </w:rPr>
              <w:t xml:space="preserve">, д. Шарап, п. Подгорный, п. 75-й пикет, п. 360 км, п. Южный, п. Рассвет, п. Загорский, п. Елань, п. </w:t>
            </w:r>
            <w:proofErr w:type="spellStart"/>
            <w:r w:rsidRPr="008F71FD">
              <w:rPr>
                <w:sz w:val="26"/>
                <w:szCs w:val="26"/>
              </w:rPr>
              <w:t>Муратово</w:t>
            </w:r>
            <w:proofErr w:type="spellEnd"/>
            <w:r w:rsidRPr="008F71FD">
              <w:rPr>
                <w:sz w:val="26"/>
                <w:szCs w:val="26"/>
              </w:rPr>
              <w:t xml:space="preserve">, п. </w:t>
            </w:r>
            <w:proofErr w:type="spellStart"/>
            <w:r w:rsidRPr="008F71FD">
              <w:rPr>
                <w:sz w:val="26"/>
                <w:szCs w:val="26"/>
              </w:rPr>
              <w:t>Смирновка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Ашмарино</w:t>
            </w:r>
            <w:proofErr w:type="spellEnd"/>
            <w:r w:rsidRPr="008F71FD">
              <w:rPr>
                <w:sz w:val="26"/>
                <w:szCs w:val="26"/>
              </w:rPr>
              <w:t xml:space="preserve">, с. Ильинка, п. Степной, с. </w:t>
            </w:r>
            <w:proofErr w:type="spellStart"/>
            <w:r w:rsidRPr="008F71FD">
              <w:rPr>
                <w:sz w:val="26"/>
                <w:szCs w:val="26"/>
              </w:rPr>
              <w:t>Бедарево</w:t>
            </w:r>
            <w:proofErr w:type="spellEnd"/>
            <w:r w:rsidRPr="008F71FD">
              <w:rPr>
                <w:sz w:val="26"/>
                <w:szCs w:val="26"/>
              </w:rPr>
              <w:t>, д. Митино,</w:t>
            </w:r>
            <w:r w:rsidR="00176147">
              <w:rPr>
                <w:sz w:val="26"/>
                <w:szCs w:val="26"/>
              </w:rPr>
              <w:t xml:space="preserve"> </w:t>
            </w:r>
            <w:r w:rsidRPr="008F71FD">
              <w:rPr>
                <w:sz w:val="26"/>
                <w:szCs w:val="26"/>
              </w:rPr>
              <w:t xml:space="preserve">д. Шорохово, п. Металлургов, п. </w:t>
            </w:r>
            <w:proofErr w:type="spellStart"/>
            <w:r w:rsidRPr="008F71FD">
              <w:rPr>
                <w:sz w:val="26"/>
                <w:szCs w:val="26"/>
              </w:rPr>
              <w:t>Ерунаково</w:t>
            </w:r>
            <w:proofErr w:type="spellEnd"/>
            <w:r w:rsidRPr="008F71FD">
              <w:rPr>
                <w:sz w:val="26"/>
                <w:szCs w:val="26"/>
              </w:rPr>
              <w:t>, п. Северный, п. Восточный, п</w:t>
            </w:r>
            <w:proofErr w:type="gramEnd"/>
            <w:r w:rsidRPr="008F71FD">
              <w:rPr>
                <w:sz w:val="26"/>
                <w:szCs w:val="26"/>
              </w:rPr>
              <w:t xml:space="preserve">. </w:t>
            </w:r>
            <w:proofErr w:type="gramStart"/>
            <w:r w:rsidRPr="008F71FD">
              <w:rPr>
                <w:sz w:val="26"/>
                <w:szCs w:val="26"/>
              </w:rPr>
              <w:t>Сметанино,</w:t>
            </w:r>
            <w:r w:rsidR="00176147">
              <w:rPr>
                <w:sz w:val="26"/>
                <w:szCs w:val="26"/>
              </w:rPr>
              <w:t xml:space="preserve"> </w:t>
            </w:r>
            <w:r w:rsidRPr="008F71FD">
              <w:rPr>
                <w:sz w:val="26"/>
                <w:szCs w:val="26"/>
              </w:rPr>
              <w:t xml:space="preserve">с. Сидорово, п. </w:t>
            </w:r>
            <w:proofErr w:type="spellStart"/>
            <w:r w:rsidRPr="008F71FD">
              <w:rPr>
                <w:sz w:val="26"/>
                <w:szCs w:val="26"/>
              </w:rPr>
              <w:t>Терехино</w:t>
            </w:r>
            <w:proofErr w:type="spellEnd"/>
            <w:r w:rsidRPr="008F71FD">
              <w:rPr>
                <w:sz w:val="26"/>
                <w:szCs w:val="26"/>
              </w:rPr>
              <w:t xml:space="preserve">, с. </w:t>
            </w:r>
            <w:proofErr w:type="spellStart"/>
            <w:r w:rsidRPr="008F71FD">
              <w:rPr>
                <w:sz w:val="26"/>
                <w:szCs w:val="26"/>
              </w:rPr>
              <w:t>Краснознаменка</w:t>
            </w:r>
            <w:proofErr w:type="spellEnd"/>
            <w:r w:rsidRPr="008F71FD">
              <w:rPr>
                <w:sz w:val="26"/>
                <w:szCs w:val="26"/>
              </w:rPr>
              <w:t xml:space="preserve">, д. Мокроусово, п. Чистая Грива, д. </w:t>
            </w:r>
            <w:proofErr w:type="spellStart"/>
            <w:r w:rsidRPr="008F71FD">
              <w:rPr>
                <w:sz w:val="26"/>
                <w:szCs w:val="26"/>
              </w:rPr>
              <w:t>Есаулка</w:t>
            </w:r>
            <w:proofErr w:type="spellEnd"/>
            <w:r w:rsidRPr="008F71FD">
              <w:rPr>
                <w:sz w:val="26"/>
                <w:szCs w:val="26"/>
              </w:rPr>
              <w:t xml:space="preserve">, д. Малая </w:t>
            </w:r>
            <w:proofErr w:type="spellStart"/>
            <w:r w:rsidRPr="008F71FD">
              <w:rPr>
                <w:sz w:val="26"/>
                <w:szCs w:val="26"/>
              </w:rPr>
              <w:t>Щедруха</w:t>
            </w:r>
            <w:proofErr w:type="spellEnd"/>
            <w:r w:rsidRPr="008F71FD">
              <w:rPr>
                <w:sz w:val="26"/>
                <w:szCs w:val="26"/>
              </w:rPr>
              <w:t xml:space="preserve">, с. Кругленькое, </w:t>
            </w:r>
            <w:proofErr w:type="spellStart"/>
            <w:r w:rsidRPr="008F71FD">
              <w:rPr>
                <w:sz w:val="26"/>
                <w:szCs w:val="26"/>
              </w:rPr>
              <w:t>п.ст</w:t>
            </w:r>
            <w:proofErr w:type="spellEnd"/>
            <w:r w:rsidRPr="008F71FD">
              <w:rPr>
                <w:sz w:val="26"/>
                <w:szCs w:val="26"/>
              </w:rPr>
              <w:t xml:space="preserve">. Бардина, </w:t>
            </w:r>
            <w:proofErr w:type="spellStart"/>
            <w:r w:rsidRPr="008F71FD">
              <w:rPr>
                <w:sz w:val="26"/>
                <w:szCs w:val="26"/>
              </w:rPr>
              <w:t>п.ст</w:t>
            </w:r>
            <w:proofErr w:type="spellEnd"/>
            <w:r w:rsidRPr="008F71FD">
              <w:rPr>
                <w:sz w:val="26"/>
                <w:szCs w:val="26"/>
              </w:rPr>
              <w:t xml:space="preserve">. </w:t>
            </w:r>
            <w:proofErr w:type="spellStart"/>
            <w:r w:rsidRPr="008F71FD">
              <w:rPr>
                <w:sz w:val="26"/>
                <w:szCs w:val="26"/>
              </w:rPr>
              <w:t>Керегеш</w:t>
            </w:r>
            <w:proofErr w:type="spellEnd"/>
            <w:r w:rsidRPr="008F71FD">
              <w:rPr>
                <w:sz w:val="26"/>
                <w:szCs w:val="26"/>
              </w:rPr>
              <w:t xml:space="preserve">, </w:t>
            </w:r>
            <w:proofErr w:type="spellStart"/>
            <w:r w:rsidRPr="008F71FD">
              <w:rPr>
                <w:sz w:val="26"/>
                <w:szCs w:val="26"/>
              </w:rPr>
              <w:t>п.ст</w:t>
            </w:r>
            <w:proofErr w:type="spellEnd"/>
            <w:r w:rsidRPr="008F71FD">
              <w:rPr>
                <w:sz w:val="26"/>
                <w:szCs w:val="26"/>
              </w:rPr>
              <w:t xml:space="preserve">. Тоннель, с. Сосновка, п. Новый, д. Михайловка, п. </w:t>
            </w:r>
            <w:proofErr w:type="spellStart"/>
            <w:r w:rsidRPr="008F71FD">
              <w:rPr>
                <w:sz w:val="26"/>
                <w:szCs w:val="26"/>
              </w:rPr>
              <w:t>Красинск</w:t>
            </w:r>
            <w:proofErr w:type="spellEnd"/>
            <w:r w:rsidRPr="008F71FD">
              <w:rPr>
                <w:sz w:val="26"/>
                <w:szCs w:val="26"/>
              </w:rPr>
              <w:t xml:space="preserve">, п. Пушкино, п. </w:t>
            </w:r>
            <w:proofErr w:type="spellStart"/>
            <w:r w:rsidRPr="008F71FD">
              <w:rPr>
                <w:sz w:val="26"/>
                <w:szCs w:val="26"/>
              </w:rPr>
              <w:t>Таргайский</w:t>
            </w:r>
            <w:proofErr w:type="spellEnd"/>
            <w:r w:rsidRPr="008F71FD">
              <w:rPr>
                <w:sz w:val="26"/>
                <w:szCs w:val="26"/>
              </w:rPr>
              <w:t xml:space="preserve"> </w:t>
            </w:r>
            <w:r w:rsidR="00176147">
              <w:rPr>
                <w:sz w:val="26"/>
                <w:szCs w:val="26"/>
              </w:rPr>
              <w:t>Дом О</w:t>
            </w:r>
            <w:r w:rsidRPr="008F71FD">
              <w:rPr>
                <w:sz w:val="26"/>
                <w:szCs w:val="26"/>
              </w:rPr>
              <w:t xml:space="preserve">тдыха, п. Ключи, п. </w:t>
            </w:r>
            <w:proofErr w:type="spellStart"/>
            <w:r w:rsidRPr="008F71FD">
              <w:rPr>
                <w:sz w:val="26"/>
                <w:szCs w:val="26"/>
              </w:rPr>
              <w:t>Калмыковский</w:t>
            </w:r>
            <w:proofErr w:type="spellEnd"/>
            <w:r w:rsidRPr="008F71FD">
              <w:rPr>
                <w:sz w:val="26"/>
                <w:szCs w:val="26"/>
              </w:rPr>
              <w:t xml:space="preserve">, п. Калиновский, с. Малиновка, п. Юрьевка, п. Ленинский, с. </w:t>
            </w:r>
            <w:proofErr w:type="spellStart"/>
            <w:r w:rsidRPr="008F71FD">
              <w:rPr>
                <w:sz w:val="26"/>
                <w:szCs w:val="26"/>
              </w:rPr>
              <w:t>Букино</w:t>
            </w:r>
            <w:proofErr w:type="spellEnd"/>
            <w:r w:rsidRPr="008F71FD">
              <w:rPr>
                <w:sz w:val="26"/>
                <w:szCs w:val="26"/>
              </w:rPr>
              <w:t xml:space="preserve">, д. </w:t>
            </w:r>
            <w:proofErr w:type="spellStart"/>
            <w:r w:rsidRPr="008F71FD">
              <w:rPr>
                <w:sz w:val="26"/>
                <w:szCs w:val="26"/>
              </w:rPr>
              <w:t>Учул</w:t>
            </w:r>
            <w:proofErr w:type="spellEnd"/>
            <w:r w:rsidRPr="008F71FD">
              <w:rPr>
                <w:sz w:val="26"/>
                <w:szCs w:val="26"/>
              </w:rPr>
              <w:t>,</w:t>
            </w:r>
            <w:r w:rsidR="00176147">
              <w:rPr>
                <w:sz w:val="26"/>
                <w:szCs w:val="26"/>
              </w:rPr>
              <w:t xml:space="preserve"> </w:t>
            </w:r>
            <w:r w:rsidRPr="008F71FD">
              <w:rPr>
                <w:sz w:val="26"/>
                <w:szCs w:val="26"/>
              </w:rPr>
              <w:t xml:space="preserve"> п. </w:t>
            </w:r>
            <w:proofErr w:type="spellStart"/>
            <w:r w:rsidRPr="008F71FD">
              <w:rPr>
                <w:sz w:val="26"/>
                <w:szCs w:val="26"/>
              </w:rPr>
              <w:t>Чистогорский</w:t>
            </w:r>
            <w:proofErr w:type="spellEnd"/>
            <w:proofErr w:type="gramEnd"/>
            <w:r w:rsidRPr="008F71FD">
              <w:rPr>
                <w:sz w:val="26"/>
                <w:szCs w:val="26"/>
              </w:rPr>
              <w:t xml:space="preserve">, </w:t>
            </w:r>
            <w:proofErr w:type="gramStart"/>
            <w:r w:rsidRPr="008F71FD">
              <w:rPr>
                <w:sz w:val="26"/>
                <w:szCs w:val="26"/>
              </w:rPr>
              <w:t>с</w:t>
            </w:r>
            <w:proofErr w:type="gramEnd"/>
            <w:r w:rsidRPr="008F71FD">
              <w:rPr>
                <w:sz w:val="26"/>
                <w:szCs w:val="26"/>
              </w:rPr>
              <w:t>. Славино, г.</w:t>
            </w:r>
            <w:r w:rsidR="00176147">
              <w:rPr>
                <w:sz w:val="26"/>
                <w:szCs w:val="26"/>
              </w:rPr>
              <w:t xml:space="preserve"> </w:t>
            </w:r>
            <w:r w:rsidRPr="008F71FD">
              <w:rPr>
                <w:sz w:val="26"/>
                <w:szCs w:val="26"/>
              </w:rPr>
              <w:t>Мыски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1</w:t>
            </w:r>
          </w:p>
        </w:tc>
      </w:tr>
      <w:tr w:rsidR="00B0310F" w:rsidRPr="008F71FD" w:rsidTr="008F71FD">
        <w:trPr>
          <w:cantSplit/>
          <w:jc w:val="center"/>
        </w:trPr>
        <w:tc>
          <w:tcPr>
            <w:tcW w:w="1062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4</w:t>
            </w:r>
          </w:p>
        </w:tc>
        <w:tc>
          <w:tcPr>
            <w:tcW w:w="6519" w:type="dxa"/>
            <w:shd w:val="clear" w:color="auto" w:fill="auto"/>
            <w:vAlign w:val="center"/>
            <w:hideMark/>
          </w:tcPr>
          <w:p w:rsidR="00B0310F" w:rsidRPr="008F71FD" w:rsidRDefault="00B0310F" w:rsidP="00E22AD4">
            <w:pPr>
              <w:jc w:val="both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г. Новокузнецк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B0310F" w:rsidRPr="008F71FD" w:rsidRDefault="00B0310F" w:rsidP="00D157B8">
            <w:pPr>
              <w:jc w:val="center"/>
              <w:rPr>
                <w:sz w:val="26"/>
                <w:szCs w:val="26"/>
              </w:rPr>
            </w:pPr>
            <w:r w:rsidRPr="008F71FD">
              <w:rPr>
                <w:sz w:val="26"/>
                <w:szCs w:val="26"/>
              </w:rPr>
              <w:t>1,3</w:t>
            </w:r>
          </w:p>
        </w:tc>
      </w:tr>
    </w:tbl>
    <w:p w:rsidR="00B0310F" w:rsidRPr="00B0310F" w:rsidRDefault="00B0310F" w:rsidP="00B0310F">
      <w:pPr>
        <w:rPr>
          <w:sz w:val="26"/>
          <w:szCs w:val="26"/>
        </w:rPr>
      </w:pPr>
    </w:p>
    <w:p w:rsidR="00B0310F" w:rsidRPr="00B0310F" w:rsidRDefault="00B0310F" w:rsidP="00B0310F">
      <w:pPr>
        <w:rPr>
          <w:sz w:val="26"/>
          <w:szCs w:val="26"/>
        </w:rPr>
      </w:pPr>
    </w:p>
    <w:p w:rsidR="00B0310F" w:rsidRPr="00B0310F" w:rsidRDefault="00B0310F">
      <w:pPr>
        <w:rPr>
          <w:sz w:val="26"/>
          <w:szCs w:val="26"/>
        </w:rPr>
      </w:pPr>
    </w:p>
    <w:sectPr w:rsidR="00B0310F" w:rsidRPr="00B0310F" w:rsidSect="00121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0764"/>
    <w:multiLevelType w:val="hybridMultilevel"/>
    <w:tmpl w:val="AAF0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90"/>
    <w:rsid w:val="000B4363"/>
    <w:rsid w:val="00121090"/>
    <w:rsid w:val="00176147"/>
    <w:rsid w:val="00543C27"/>
    <w:rsid w:val="00713150"/>
    <w:rsid w:val="00725217"/>
    <w:rsid w:val="008F71FD"/>
    <w:rsid w:val="00B0310F"/>
    <w:rsid w:val="00CA0852"/>
    <w:rsid w:val="00E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09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12109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9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109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2109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0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21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09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12109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09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109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2109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210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21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2020-11-26T06:05:00Z</dcterms:created>
  <dcterms:modified xsi:type="dcterms:W3CDTF">2020-11-26T06:05:00Z</dcterms:modified>
</cp:coreProperties>
</file>